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b w:val="1"/>
          <w:bCs w:val="1"/>
          <w:color w:val="ff2600"/>
          <w:sz w:val="44"/>
          <w:szCs w:val="44"/>
          <w:rtl w:val="0"/>
        </w:rPr>
      </w:pPr>
      <w:r>
        <w:rPr>
          <w:rStyle w:val="Hyperlink.0"/>
          <w:b w:val="1"/>
          <w:bCs w:val="1"/>
          <w:color w:val="ff2600"/>
          <w:sz w:val="44"/>
          <w:szCs w:val="44"/>
          <w:rtl w:val="0"/>
        </w:rPr>
        <w:fldChar w:fldCharType="begin" w:fldLock="0"/>
      </w:r>
      <w:r>
        <w:rPr>
          <w:rStyle w:val="Hyperlink.0"/>
          <w:b w:val="1"/>
          <w:bCs w:val="1"/>
          <w:color w:val="ff2600"/>
          <w:sz w:val="44"/>
          <w:szCs w:val="44"/>
          <w:rtl w:val="0"/>
        </w:rPr>
        <w:instrText xml:space="preserve"> HYPERLINK "https://www.writinglaw.com"</w:instrText>
      </w:r>
      <w:r>
        <w:rPr>
          <w:rStyle w:val="Hyperlink.0"/>
          <w:b w:val="1"/>
          <w:bCs w:val="1"/>
          <w:color w:val="ff2600"/>
          <w:sz w:val="44"/>
          <w:szCs w:val="44"/>
          <w:rtl w:val="0"/>
        </w:rPr>
        <w:fldChar w:fldCharType="separate" w:fldLock="0"/>
      </w:r>
      <w:r>
        <w:rPr>
          <w:rStyle w:val="Hyperlink.0"/>
          <w:b w:val="1"/>
          <w:bCs w:val="1"/>
          <w:color w:val="ff2600"/>
          <w:sz w:val="44"/>
          <w:szCs w:val="44"/>
          <w:rtl w:val="0"/>
          <w:lang w:val="en-US"/>
        </w:rPr>
        <w:t>WRITINGLAW.COM</w:t>
      </w:r>
      <w:r>
        <w:rPr>
          <w:b w:val="1"/>
          <w:bCs w:val="1"/>
          <w:color w:val="ff2600"/>
          <w:sz w:val="44"/>
          <w:szCs w:val="4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b w:val="1"/>
          <w:bCs w:val="1"/>
          <w:color w:val="ff9200"/>
          <w:sz w:val="44"/>
          <w:szCs w:val="44"/>
          <w:rtl w:val="0"/>
        </w:rPr>
      </w:pPr>
      <w:r>
        <w:rPr>
          <w:b w:val="1"/>
          <w:bCs w:val="1"/>
          <w:color w:val="ff9200"/>
          <w:sz w:val="44"/>
          <w:szCs w:val="44"/>
          <w:rtl w:val="0"/>
          <w:lang w:val="en-US"/>
        </w:rPr>
        <w:t>50 LAW QUESTIONS WITH ANSWERS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 xml:space="preserve">1. By which amendment was the Sindhi language added in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"https://www.writinglaw.com/eighth-schedule-constitution-of-india/"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VIII Schedule of the Constitution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21st Amendment, 1967.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2. Which case is related to live streaming of the proceedings of supreme court?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Swapnil Tripathi vs SC of India.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3. In which case was the concept of curative petition first evolved by the SC of India?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Rupa Ashok Hurra vs Ashok Hurra and Anr 2002.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4. Which writ can be issued against private person also?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"https://www.writinglaw.com/important-legal-maxims-and-phrases/"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de-DE"/>
        </w:rPr>
        <w:t>Habeas Corpus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5. Who is considered as the custodian of public purse?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</w:rPr>
        <w:t xml:space="preserve">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"https://www.writinglaw.com/part-v-52-151-constitution-of-india/#CHAPTER_V_COMPTROLLER_AND_AUDITOR-GENERAL_OF_INDIA"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da-DK"/>
        </w:rPr>
        <w:t>Comptroller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and auditor general of India.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6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Under Section 6 of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"https://www.writinglaw.com/the-hindu-minority-and-guardianship-act-1956/"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Hindu Minority and Guardianship Act, 1956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the natural guardian of a minor child is?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Father and after him mother.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7</w:t>
      </w:r>
      <w:r>
        <w:rPr>
          <w:b w:val="1"/>
          <w:bCs w:val="1"/>
          <w:sz w:val="44"/>
          <w:szCs w:val="44"/>
          <w:rtl w:val="0"/>
          <w:lang w:val="en-US"/>
        </w:rPr>
        <w:t>. For how many years a person has to be a High Court judge to become a Supreme Court Judge?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</w:rPr>
        <w:t xml:space="preserve"> Five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8</w:t>
      </w:r>
      <w:r>
        <w:rPr>
          <w:b w:val="1"/>
          <w:bCs w:val="1"/>
          <w:sz w:val="44"/>
          <w:szCs w:val="44"/>
          <w:rtl w:val="0"/>
        </w:rPr>
        <w:t xml:space="preserve">.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"https://www.writinglaw.com/category/criminal-procedure-code/"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Code of Criminal Procedure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is a subject matter of which list?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fr-FR"/>
        </w:rPr>
        <w:t xml:space="preserve"> Concurrent List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9</w:t>
      </w:r>
      <w:r>
        <w:rPr>
          <w:b w:val="1"/>
          <w:bCs w:val="1"/>
          <w:sz w:val="44"/>
          <w:szCs w:val="44"/>
          <w:rtl w:val="0"/>
          <w:lang w:val="en-US"/>
        </w:rPr>
        <w:t>. Which was the first case to introduce the concept of judicial review?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</w:rPr>
        <w:t xml:space="preserve"> Marbury v Madison (1803)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10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Secularism was added in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"https://www.writinglaw.com/preamble-constitution-of-india/"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preamble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by which amendment?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Forty Second amendment.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Who is considered as father of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"https://www.writinglaw.com/category/indian-evidence-act-1872/"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Indian Evidence Act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</w:rPr>
        <w:t xml:space="preserve"> James Stephen.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 xml:space="preserve">2. Who said that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"https://www.writinglaw.com/section-5-16-of-indian-evidence-act-chapter-ii/#6_Relevancy_of_facts_forming_part_of_same_transaction"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Section 6 (Res gestae)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is the weakest of whole evidence?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it-IT"/>
        </w:rPr>
        <w:t xml:space="preserve"> J. Wigmore.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>3. Which Preliminary examination of a child is done to test his competency as a witness?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fr-FR"/>
        </w:rPr>
        <w:t xml:space="preserve"> Voir dire test.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>4. "Evidence is to be weighed and not counted" attracts which section of Evidence act?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"https://www.writinglaw.com/section-118-134-of-indian-evidence-act-chapter-ix/#134_Number_of_witnesses"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Section 134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>5. When leading questions can be asked to a party?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 xml:space="preserve"> In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"https://www.writinglaw.com/section-135-146-of-indian-evidence-act-chapter-x/"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Cross examination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 xml:space="preserve"> (Section 143)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1</w:t>
      </w:r>
      <w:r>
        <w:rPr>
          <w:b w:val="1"/>
          <w:bCs w:val="1"/>
          <w:sz w:val="44"/>
          <w:szCs w:val="44"/>
          <w:rtl w:val="0"/>
          <w:lang w:val="en-US"/>
        </w:rPr>
        <w:t>6</w:t>
      </w:r>
      <w:r>
        <w:rPr>
          <w:b w:val="1"/>
          <w:bCs w:val="1"/>
          <w:sz w:val="44"/>
          <w:szCs w:val="44"/>
          <w:rtl w:val="0"/>
          <w:lang w:val="en-US"/>
        </w:rPr>
        <w:t>. Order has been defined as a formal expression of any decision of a civil court which is not a decree, under-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"https://www.writinglaw.com/civil-procedure-code-preliminary/"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Section 2(14)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 xml:space="preserve"> of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"https://www.writinglaw.com/category/civil-procedure-code/"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it-IT"/>
        </w:rPr>
        <w:t>Civil Procedure Code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17</w:t>
      </w:r>
      <w:r>
        <w:rPr>
          <w:b w:val="1"/>
          <w:bCs w:val="1"/>
          <w:sz w:val="44"/>
          <w:szCs w:val="44"/>
          <w:rtl w:val="0"/>
          <w:lang w:val="en-US"/>
        </w:rPr>
        <w:t>. Constructive res-judicata is contained in-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"https://www.writinglaw.com/part-i-section-9-35b-of-cpc-suits-in-general/#Section_11_Res-judicata"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Explanation IV of section 11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 xml:space="preserve"> of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"https://www.writinglaw.com/category/civil-procedure-code/"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pt-PT"/>
        </w:rPr>
        <w:t>CPC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18</w:t>
      </w:r>
      <w:r>
        <w:rPr>
          <w:b w:val="1"/>
          <w:bCs w:val="1"/>
          <w:sz w:val="44"/>
          <w:szCs w:val="44"/>
          <w:rtl w:val="0"/>
          <w:lang w:val="en-US"/>
        </w:rPr>
        <w:t>. Law of evidence is-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i w:val="0"/>
          <w:iCs w:val="0"/>
          <w:sz w:val="44"/>
          <w:szCs w:val="44"/>
          <w:rtl w:val="0"/>
        </w:rPr>
      </w:pPr>
      <w:r>
        <w:rPr>
          <w:rStyle w:val="None"/>
          <w:b w:val="1"/>
          <w:bCs w:val="1"/>
          <w:i w:val="0"/>
          <w:iCs w:val="0"/>
          <w:color w:val="4e8f00"/>
          <w:sz w:val="44"/>
          <w:szCs w:val="44"/>
          <w:rtl w:val="0"/>
          <w:lang w:val="pt-PT"/>
        </w:rPr>
        <w:t>Ans.</w:t>
      </w:r>
      <w:r>
        <w:rPr>
          <w:rStyle w:val="None"/>
          <w:b w:val="1"/>
          <w:bCs w:val="1"/>
          <w:i w:val="0"/>
          <w:iCs w:val="0"/>
          <w:sz w:val="44"/>
          <w:szCs w:val="44"/>
          <w:rtl w:val="0"/>
          <w:lang w:val="it-IT"/>
        </w:rPr>
        <w:t xml:space="preserve"> Lex fori. </w:t>
      </w:r>
      <w:r>
        <w:rPr>
          <w:i w:val="1"/>
          <w:iCs w:val="1"/>
          <w:sz w:val="44"/>
          <w:szCs w:val="44"/>
          <w:rtl w:val="0"/>
          <w:lang w:val="en-US"/>
        </w:rPr>
        <w:t>(Lex fori means 'The law applicable to particular legal proceedings'.)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19</w:t>
      </w:r>
      <w:r>
        <w:rPr>
          <w:b w:val="1"/>
          <w:bCs w:val="1"/>
          <w:sz w:val="44"/>
          <w:szCs w:val="44"/>
          <w:rtl w:val="0"/>
          <w:lang w:val="en-US"/>
        </w:rPr>
        <w:t>. Confession caused by inducement, threat or promise is contained in-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"https://www.writinglaw.com/section-17-31-of-indian-evidence-act-chapter-ii/"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Section 24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 xml:space="preserve"> of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"https://www.writinglaw.com/category/indian-evidence-act-1872/"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Indian Evidence Act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20</w:t>
      </w:r>
      <w:r>
        <w:rPr>
          <w:b w:val="1"/>
          <w:bCs w:val="1"/>
          <w:sz w:val="44"/>
          <w:szCs w:val="44"/>
          <w:rtl w:val="0"/>
          <w:lang w:val="en-US"/>
        </w:rPr>
        <w:t>. Necessity rule as to the admissibility of evidence is contained in-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"https://www.writinglaw.com/section-32-33-of-indian-evidence-act-chapter-ii/"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Section 32 of IEA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</w:t>
      </w:r>
      <w:r>
        <w:rPr>
          <w:b w:val="1"/>
          <w:bCs w:val="1"/>
          <w:sz w:val="44"/>
          <w:szCs w:val="44"/>
          <w:rtl w:val="0"/>
          <w:lang w:val="en-US"/>
        </w:rPr>
        <w:t xml:space="preserve">1. The relationship in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"https://www.writinglaw.com/section-45-51-of-indian-evidence-act-chapter-ii/"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section 50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of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"https://www.writinglaw.com/category/indian-evidence-act-1872/"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Evidence Act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means?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Relationship by blood or marriage or adoption.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2</w:t>
      </w:r>
      <w:r>
        <w:rPr>
          <w:b w:val="1"/>
          <w:bCs w:val="1"/>
          <w:sz w:val="44"/>
          <w:szCs w:val="44"/>
          <w:rtl w:val="0"/>
          <w:lang w:val="en-US"/>
        </w:rPr>
        <w:t>2</w:t>
      </w:r>
      <w:r>
        <w:rPr>
          <w:b w:val="1"/>
          <w:bCs w:val="1"/>
          <w:sz w:val="44"/>
          <w:szCs w:val="44"/>
          <w:rtl w:val="0"/>
          <w:lang w:val="de-DE"/>
        </w:rPr>
        <w:t xml:space="preserve">. Under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"https://www.writinglaw.com/category/hindu-law/"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Hindu Law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marriage is a-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it-IT"/>
        </w:rPr>
        <w:t xml:space="preserve"> Sacrament.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</w:t>
      </w:r>
      <w:r>
        <w:rPr>
          <w:b w:val="1"/>
          <w:bCs w:val="1"/>
          <w:sz w:val="44"/>
          <w:szCs w:val="44"/>
          <w:rtl w:val="0"/>
          <w:lang w:val="en-US"/>
        </w:rPr>
        <w:t>3. When two persons are the descendants of a common ancestor by the same wife, they are said to be related to each other by-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Full blood.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</w:t>
      </w:r>
      <w:r>
        <w:rPr>
          <w:b w:val="1"/>
          <w:bCs w:val="1"/>
          <w:sz w:val="44"/>
          <w:szCs w:val="44"/>
          <w:rtl w:val="0"/>
          <w:lang w:val="en-US"/>
        </w:rPr>
        <w:t>4. Registration of a Hindu Marriage has been provided under-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Section 8 of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"https://www.writinglaw.com/the-hindu-marriage-act-1955/"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Hindu Marriage Act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</w:t>
      </w:r>
      <w:r>
        <w:rPr>
          <w:b w:val="1"/>
          <w:bCs w:val="1"/>
          <w:sz w:val="44"/>
          <w:szCs w:val="44"/>
          <w:rtl w:val="0"/>
          <w:lang w:val="en-US"/>
        </w:rPr>
        <w:t>5. The statement "what cannot be done directly cannot be done indirectly" relates to the doctrine of-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Doctrine of colorable legislation.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26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Provision for setting aside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"https://www.writinglaw.com/important-legal-maxims-and-phrases/"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ex-party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decree is given under?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"https://www.writinglaw.com/order-11-rule-13-cpc/"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de-DE"/>
        </w:rPr>
        <w:t>Order lX, Rule 13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2</w:t>
      </w:r>
      <w:r>
        <w:rPr>
          <w:b w:val="1"/>
          <w:bCs w:val="1"/>
          <w:sz w:val="44"/>
          <w:szCs w:val="44"/>
          <w:rtl w:val="0"/>
          <w:lang w:val="en-US"/>
        </w:rPr>
        <w:t>7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Which article of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Constitution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provides for uniform civil code?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"https://www.writinglaw.com/article-44-constitution-of-india/"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Article 44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28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Which section of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"https://www.writinglaw.com/the-transfer-of-property-act-1882/"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Transfer of Property Act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is related to the oral transfer?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"https://www.writinglaw.com/section-9-tpa/"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Section 9 of TPA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29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In which provision of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"https://www.writinglaw.com/category/indian-evidence-act-1872/"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Indian Evidence Act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refreshing memory has been given?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"https://www.writinglaw.com/section-159-evidence-act/"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Section 159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30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In Joseph Shrine vs Union of India Supreme Court declared which section of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"https://www.writinglaw.com/category/ipc/"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IPC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it-IT"/>
        </w:rPr>
        <w:t xml:space="preserve"> ultra vires?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"https://www.writinglaw.com/section-497-ipc/"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Section 497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</w:t>
      </w:r>
      <w:r>
        <w:rPr>
          <w:b w:val="1"/>
          <w:bCs w:val="1"/>
          <w:sz w:val="44"/>
          <w:szCs w:val="44"/>
          <w:rtl w:val="0"/>
          <w:lang w:val="en-US"/>
        </w:rPr>
        <w:t xml:space="preserve">1. Under which article of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Constitution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parliament can form a new state?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"https://www.writinglaw.com/article-3-constitution-of-india/"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Article 3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</w:t>
      </w:r>
      <w:r>
        <w:rPr>
          <w:b w:val="1"/>
          <w:bCs w:val="1"/>
          <w:sz w:val="44"/>
          <w:szCs w:val="44"/>
          <w:rtl w:val="0"/>
          <w:lang w:val="en-US"/>
        </w:rPr>
        <w:t xml:space="preserve">2. Which article under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Indian Constitution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abolishes untouchability?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"https://www.writinglaw.com/article-17-constitution-of-india/"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Article 17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3</w:t>
      </w:r>
      <w:r>
        <w:rPr>
          <w:b w:val="1"/>
          <w:bCs w:val="1"/>
          <w:sz w:val="44"/>
          <w:szCs w:val="44"/>
          <w:rtl w:val="0"/>
          <w:lang w:val="en-US"/>
        </w:rPr>
        <w:t>3</w:t>
      </w:r>
      <w:r>
        <w:rPr>
          <w:b w:val="1"/>
          <w:bCs w:val="1"/>
          <w:sz w:val="44"/>
          <w:szCs w:val="44"/>
          <w:rtl w:val="0"/>
          <w:lang w:val="de-DE"/>
        </w:rPr>
        <w:t xml:space="preserve">. Under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"https://www.writinglaw.com/article-338a-constitution-of-india/"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article 338A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of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Indian Constitution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there shall be a commission known as?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National Commission for Schedule Tribes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</w:t>
      </w:r>
      <w:r>
        <w:rPr>
          <w:b w:val="1"/>
          <w:bCs w:val="1"/>
          <w:sz w:val="44"/>
          <w:szCs w:val="44"/>
          <w:rtl w:val="0"/>
        </w:rPr>
        <w:t xml:space="preserve">4.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"https://www.writinglaw.com/?s=EASEMENT&amp;submit=Search"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Easement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  <w:lang w:val="en-US"/>
        </w:rPr>
        <w:t xml:space="preserve"> is a right in?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Rem (against the whole world)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</w:t>
      </w:r>
      <w:r>
        <w:rPr>
          <w:b w:val="1"/>
          <w:bCs w:val="1"/>
          <w:sz w:val="44"/>
          <w:szCs w:val="44"/>
          <w:rtl w:val="0"/>
          <w:lang w:val="en-US"/>
        </w:rPr>
        <w:t>5. Damages awarded for tortious acts are?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Unliquidated damages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36</w:t>
      </w:r>
      <w:r>
        <w:rPr>
          <w:b w:val="1"/>
          <w:bCs w:val="1"/>
          <w:sz w:val="44"/>
          <w:szCs w:val="44"/>
          <w:rtl w:val="0"/>
          <w:lang w:val="en-US"/>
        </w:rPr>
        <w:t>. Rule of absolute liability was propounded by?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Justice P.N Bhagwati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37</w:t>
      </w:r>
      <w:r>
        <w:rPr>
          <w:b w:val="1"/>
          <w:bCs w:val="1"/>
          <w:sz w:val="44"/>
          <w:szCs w:val="44"/>
          <w:rtl w:val="0"/>
          <w:lang w:val="en-US"/>
        </w:rPr>
        <w:t>. The residuary power of legislation with parliament vests under which article?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u w:color="e4ae0a"/>
          <w:rtl w:val="0"/>
          <w:lang w:val="pt-PT"/>
        </w:rPr>
        <w:t>Ans.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  <w:t xml:space="preserve">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"https://www.writinglaw.com/article-248-constitution-of-india/"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en-US"/>
        </w:rPr>
        <w:t>Article 248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3</w:t>
      </w:r>
      <w:r>
        <w:rPr>
          <w:b w:val="1"/>
          <w:bCs w:val="1"/>
          <w:sz w:val="44"/>
          <w:szCs w:val="44"/>
          <w:rtl w:val="0"/>
          <w:lang w:val="en-US"/>
        </w:rPr>
        <w:t>8</w:t>
      </w:r>
      <w:r>
        <w:rPr>
          <w:b w:val="1"/>
          <w:bCs w:val="1"/>
          <w:sz w:val="44"/>
          <w:szCs w:val="44"/>
          <w:rtl w:val="0"/>
          <w:lang w:val="en-US"/>
        </w:rPr>
        <w:t>. A lawyer appointed by the court to assist is known as?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it-IT"/>
        </w:rPr>
        <w:t xml:space="preserve"> Amicus curiae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39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What is the number of judges in the Supreme court of India as provided under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Constitution of India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30 Judges + 1 Chief Justice of India = 31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40</w:t>
      </w:r>
      <w:r>
        <w:rPr>
          <w:b w:val="1"/>
          <w:bCs w:val="1"/>
          <w:sz w:val="44"/>
          <w:szCs w:val="44"/>
          <w:rtl w:val="0"/>
          <w:lang w:val="en-US"/>
        </w:rPr>
        <w:t>. Other name for mercy killing is?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Euthanasia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center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</w:t>
      </w:r>
      <w:r>
        <w:rPr>
          <w:b w:val="1"/>
          <w:bCs w:val="1"/>
          <w:sz w:val="44"/>
          <w:szCs w:val="44"/>
          <w:rtl w:val="0"/>
          <w:lang w:val="en-US"/>
        </w:rPr>
        <w:t>1. By which act was the privy council abolished in India?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Privy council abolishment Act, 1949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</w:t>
      </w:r>
      <w:r>
        <w:rPr>
          <w:b w:val="1"/>
          <w:bCs w:val="1"/>
          <w:sz w:val="44"/>
          <w:szCs w:val="44"/>
          <w:rtl w:val="0"/>
          <w:lang w:val="en-US"/>
        </w:rPr>
        <w:t>2. Who administers oath to the Governor of a state?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Chief Justice of High Court (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"https://www.writinglaw.com/article-159-constitution-of-india/"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fr-FR"/>
        </w:rPr>
        <w:t>Article 159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</w:t>
      </w:r>
      <w:r>
        <w:rPr>
          <w:b w:val="1"/>
          <w:bCs w:val="1"/>
          <w:sz w:val="44"/>
          <w:szCs w:val="44"/>
          <w:rtl w:val="0"/>
          <w:lang w:val="en-US"/>
        </w:rPr>
        <w:t>3. Which parliament is considered to be the mother of parliament?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England's Parliament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</w:t>
      </w:r>
      <w:r>
        <w:rPr>
          <w:b w:val="1"/>
          <w:bCs w:val="1"/>
          <w:sz w:val="44"/>
          <w:szCs w:val="44"/>
          <w:rtl w:val="0"/>
          <w:lang w:val="en-US"/>
        </w:rPr>
        <w:t xml:space="preserve">4. Who was the last to sign the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Constitution of India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Feroz Gandhi, the president of constituent assembly.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rStyle w:val="None"/>
          <w:b w:val="1"/>
          <w:bCs w:val="1"/>
          <w:color w:val="000000"/>
          <w:sz w:val="44"/>
          <w:szCs w:val="44"/>
          <w:u w:color="e4ae0a"/>
          <w:rtl w:val="0"/>
        </w:rPr>
      </w:pP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>45</w:t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en-US"/>
        </w:rPr>
        <w:t xml:space="preserve">. Who wrote the </w: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begin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instrText xml:space="preserve"> HYPERLINK "https://www.writinglaw.com/category/constitution-of-india/"</w:instrText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</w:rPr>
        <w:fldChar w:fldCharType="separate" w:fldLock="0"/>
      </w:r>
      <w:r>
        <w:rPr>
          <w:rStyle w:val="Hyperlink.0"/>
          <w:b w:val="1"/>
          <w:bCs w:val="1"/>
          <w:color w:val="e4ae0a"/>
          <w:sz w:val="44"/>
          <w:szCs w:val="44"/>
          <w:u w:color="e4ae0a"/>
          <w:rtl w:val="0"/>
          <w:lang w:val="fr-FR"/>
        </w:rPr>
        <w:t>Indian constitution</w:t>
      </w:r>
      <w:r>
        <w:rPr>
          <w:b w:val="1"/>
          <w:bCs w:val="1"/>
          <w:color w:val="e4ae0a"/>
          <w:sz w:val="44"/>
          <w:szCs w:val="44"/>
          <w:u w:color="e4ae0a"/>
          <w:rtl w:val="0"/>
        </w:rPr>
        <w:fldChar w:fldCharType="end" w:fldLock="0"/>
      </w:r>
      <w:r>
        <w:rPr>
          <w:rStyle w:val="None"/>
          <w:b w:val="1"/>
          <w:bCs w:val="1"/>
          <w:color w:val="000000"/>
          <w:sz w:val="44"/>
          <w:szCs w:val="44"/>
          <w:u w:color="e4ae0a"/>
          <w:rtl w:val="0"/>
          <w:lang w:val="it-IT"/>
        </w:rPr>
        <w:t xml:space="preserve"> in italic style?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pt-PT"/>
        </w:rPr>
        <w:t xml:space="preserve"> Prem Behari Narain Raizada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46</w:t>
      </w:r>
      <w:r>
        <w:rPr>
          <w:b w:val="1"/>
          <w:bCs w:val="1"/>
          <w:sz w:val="44"/>
          <w:szCs w:val="44"/>
          <w:rtl w:val="0"/>
          <w:lang w:val="en-US"/>
        </w:rPr>
        <w:t>. Which act provided for the establishment of supreme court at Calcutta in 1774?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The Regulating Act, 1773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47</w:t>
      </w:r>
      <w:r>
        <w:rPr>
          <w:b w:val="1"/>
          <w:bCs w:val="1"/>
          <w:sz w:val="44"/>
          <w:szCs w:val="44"/>
          <w:rtl w:val="0"/>
          <w:lang w:val="en-US"/>
        </w:rPr>
        <w:t>. Who became the first viceroy of India?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Lord Canning in 1858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  <w:lang w:val="en-US"/>
        </w:rPr>
        <w:t>48</w:t>
      </w:r>
      <w:r>
        <w:rPr>
          <w:b w:val="1"/>
          <w:bCs w:val="1"/>
          <w:sz w:val="44"/>
          <w:szCs w:val="44"/>
          <w:rtl w:val="0"/>
          <w:lang w:val="en-US"/>
        </w:rPr>
        <w:t xml:space="preserve">. How long did it take to complete the </w: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1"/>
          <w:b w:val="1"/>
          <w:bCs w:val="1"/>
          <w:sz w:val="44"/>
          <w:szCs w:val="44"/>
          <w:rtl w:val="0"/>
        </w:rPr>
        <w:instrText xml:space="preserve"> HYPERLINK "https://www.writinglaw.com/category/constitution-of-india/"</w:instrText>
      </w:r>
      <w:r>
        <w:rPr>
          <w:rStyle w:val="Hyperlink.1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1"/>
          <w:b w:val="1"/>
          <w:bCs w:val="1"/>
          <w:sz w:val="44"/>
          <w:szCs w:val="44"/>
          <w:rtl w:val="0"/>
          <w:lang w:val="en-US"/>
        </w:rPr>
        <w:t>Constitution of India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  <w:r>
        <w:rPr>
          <w:b w:val="1"/>
          <w:bCs w:val="1"/>
          <w:sz w:val="44"/>
          <w:szCs w:val="44"/>
          <w:rtl w:val="0"/>
        </w:rPr>
        <w:t>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2 years 11 months and 18 days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4</w:t>
      </w:r>
      <w:r>
        <w:rPr>
          <w:b w:val="1"/>
          <w:bCs w:val="1"/>
          <w:sz w:val="44"/>
          <w:szCs w:val="44"/>
          <w:rtl w:val="0"/>
          <w:lang w:val="en-US"/>
        </w:rPr>
        <w:t>9</w:t>
      </w:r>
      <w:r>
        <w:rPr>
          <w:b w:val="1"/>
          <w:bCs w:val="1"/>
          <w:sz w:val="44"/>
          <w:szCs w:val="44"/>
          <w:rtl w:val="0"/>
          <w:lang w:val="en-US"/>
        </w:rPr>
        <w:t>. Who for the first time put forward the idea of constituent assembly for India?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en-US"/>
        </w:rPr>
        <w:t xml:space="preserve"> M N Roy, a pioneer of communist movement in India.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b w:val="1"/>
          <w:bCs w:val="1"/>
          <w:sz w:val="44"/>
          <w:szCs w:val="44"/>
          <w:rtl w:val="0"/>
        </w:rPr>
        <w:t>5</w:t>
      </w:r>
      <w:r>
        <w:rPr>
          <w:b w:val="1"/>
          <w:bCs w:val="1"/>
          <w:sz w:val="44"/>
          <w:szCs w:val="44"/>
          <w:rtl w:val="0"/>
          <w:lang w:val="en-US"/>
        </w:rPr>
        <w:t>0</w:t>
      </w:r>
      <w:r>
        <w:rPr>
          <w:b w:val="1"/>
          <w:bCs w:val="1"/>
          <w:sz w:val="44"/>
          <w:szCs w:val="44"/>
          <w:rtl w:val="0"/>
          <w:lang w:val="en-US"/>
        </w:rPr>
        <w:t>. Who became the temporary chairman of constituent assembly?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2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1"/>
          <w:bCs w:val="1"/>
          <w:color w:val="4e8f00"/>
          <w:sz w:val="44"/>
          <w:szCs w:val="44"/>
          <w:rtl w:val="0"/>
          <w:lang w:val="pt-PT"/>
        </w:rPr>
        <w:t>Ans.</w:t>
      </w:r>
      <w:r>
        <w:rPr>
          <w:b w:val="1"/>
          <w:bCs w:val="1"/>
          <w:sz w:val="44"/>
          <w:szCs w:val="44"/>
          <w:rtl w:val="0"/>
          <w:lang w:val="de-DE"/>
        </w:rPr>
        <w:t xml:space="preserve"> Dr. Sachidanand Sinha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>I hope this PDF was helpful.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sz w:val="44"/>
          <w:szCs w:val="44"/>
          <w:rtl w:val="0"/>
        </w:rPr>
      </w:pPr>
      <w:r>
        <w:rPr>
          <w:sz w:val="44"/>
          <w:szCs w:val="44"/>
          <w:rtl w:val="0"/>
          <w:lang w:val="en-US"/>
        </w:rPr>
        <w:t xml:space="preserve">Please visit </w:t>
      </w:r>
      <w:r>
        <w:rPr>
          <w:rStyle w:val="Hyperlink.2"/>
          <w:sz w:val="44"/>
          <w:szCs w:val="44"/>
          <w:rtl w:val="0"/>
        </w:rPr>
        <w:fldChar w:fldCharType="begin" w:fldLock="0"/>
      </w:r>
      <w:r>
        <w:rPr>
          <w:rStyle w:val="Hyperlink.2"/>
          <w:sz w:val="44"/>
          <w:szCs w:val="44"/>
          <w:rtl w:val="0"/>
        </w:rPr>
        <w:instrText xml:space="preserve"> HYPERLINK "http://WritingLaw.com"</w:instrText>
      </w:r>
      <w:r>
        <w:rPr>
          <w:rStyle w:val="Hyperlink.2"/>
          <w:sz w:val="44"/>
          <w:szCs w:val="44"/>
          <w:rtl w:val="0"/>
        </w:rPr>
        <w:fldChar w:fldCharType="separate" w:fldLock="0"/>
      </w:r>
      <w:r>
        <w:rPr>
          <w:rStyle w:val="Hyperlink.2"/>
          <w:sz w:val="44"/>
          <w:szCs w:val="44"/>
          <w:rtl w:val="0"/>
          <w:lang w:val="en-US"/>
        </w:rPr>
        <w:t>WritingLaw.com</w:t>
      </w:r>
      <w:r>
        <w:rPr>
          <w:sz w:val="44"/>
          <w:szCs w:val="44"/>
          <w:rtl w:val="0"/>
        </w:rPr>
        <w:fldChar w:fldCharType="end" w:fldLock="0"/>
      </w:r>
      <w:r>
        <w:rPr>
          <w:sz w:val="44"/>
          <w:szCs w:val="44"/>
          <w:rtl w:val="0"/>
          <w:lang w:val="en-US"/>
        </w:rPr>
        <w:t xml:space="preserve"> for more </w:t>
      </w:r>
      <w:r>
        <w:rPr>
          <w:rStyle w:val="None"/>
          <w:sz w:val="44"/>
          <w:szCs w:val="44"/>
          <w:rtl w:val="0"/>
          <w:lang w:val="en-US"/>
        </w:rPr>
        <w:t>Law Questions, Law Quiz, Law Notes, Bare Acts, Bare Act PDFs</w:t>
      </w:r>
      <w:r>
        <w:rPr>
          <w:sz w:val="44"/>
          <w:szCs w:val="44"/>
          <w:rtl w:val="0"/>
          <w:lang w:val="en-US"/>
        </w:rPr>
        <w:t xml:space="preserve"> etc.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left"/>
        <w:rPr>
          <w:b w:val="1"/>
          <w:bCs w:val="1"/>
          <w:sz w:val="44"/>
          <w:szCs w:val="44"/>
          <w:rtl w:val="0"/>
        </w:rPr>
      </w:pPr>
      <w:r>
        <w:rPr>
          <w:rStyle w:val="None"/>
          <w:b w:val="0"/>
          <w:bCs w:val="0"/>
          <w:sz w:val="44"/>
          <w:szCs w:val="44"/>
          <w:rtl w:val="0"/>
          <w:lang w:val="en-US"/>
        </w:rPr>
        <w:t>If you like my work,</w:t>
      </w:r>
      <w:r>
        <w:rPr>
          <w:rStyle w:val="None"/>
          <w:b w:val="0"/>
          <w:bCs w:val="0"/>
          <w:sz w:val="44"/>
          <w:szCs w:val="44"/>
          <w:rtl w:val="0"/>
        </w:rPr>
        <w:br w:type="textWrapping"/>
      </w:r>
      <w:r>
        <w:rPr>
          <w:rStyle w:val="None"/>
          <w:b w:val="0"/>
          <w:bCs w:val="0"/>
          <w:sz w:val="44"/>
          <w:szCs w:val="44"/>
          <w:rtl w:val="0"/>
          <w:lang w:val="en-US"/>
        </w:rPr>
        <w:t>Please help me keep WritingLaw alive, ad-free and updated. Thank You.</w:t>
      </w:r>
      <w:r>
        <w:rPr>
          <w:b w:val="1"/>
          <w:bCs w:val="1"/>
          <w:sz w:val="44"/>
          <w:szCs w:val="44"/>
          <w:rtl w:val="0"/>
        </w:rPr>
        <w:br w:type="textWrapping"/>
      </w:r>
      <w:r>
        <w:rPr>
          <w:b w:val="1"/>
          <w:bCs w:val="1"/>
          <w:sz w:val="44"/>
          <w:szCs w:val="44"/>
          <w:rtl w:val="0"/>
          <w:lang w:val="en-US"/>
        </w:rPr>
        <w:t xml:space="preserve">UPI ID: </w:t>
      </w:r>
      <w:r>
        <w:rPr>
          <w:rStyle w:val="Hyperlink.2"/>
          <w:b w:val="1"/>
          <w:bCs w:val="1"/>
          <w:sz w:val="44"/>
          <w:szCs w:val="44"/>
          <w:rtl w:val="0"/>
        </w:rPr>
        <w:fldChar w:fldCharType="begin" w:fldLock="0"/>
      </w:r>
      <w:r>
        <w:rPr>
          <w:rStyle w:val="Hyperlink.2"/>
          <w:b w:val="1"/>
          <w:bCs w:val="1"/>
          <w:sz w:val="44"/>
          <w:szCs w:val="44"/>
          <w:rtl w:val="0"/>
        </w:rPr>
        <w:instrText xml:space="preserve"> HYPERLINK "https://www.writinglaw.com/why-writing-law-needs-your-help/"</w:instrText>
      </w:r>
      <w:r>
        <w:rPr>
          <w:rStyle w:val="Hyperlink.2"/>
          <w:b w:val="1"/>
          <w:bCs w:val="1"/>
          <w:sz w:val="44"/>
          <w:szCs w:val="44"/>
          <w:rtl w:val="0"/>
        </w:rPr>
        <w:fldChar w:fldCharType="separate" w:fldLock="0"/>
      </w:r>
      <w:r>
        <w:rPr>
          <w:rStyle w:val="Hyperlink.2"/>
          <w:b w:val="1"/>
          <w:bCs w:val="1"/>
          <w:sz w:val="44"/>
          <w:szCs w:val="44"/>
          <w:rtl w:val="0"/>
          <w:lang w:val="en-US"/>
        </w:rPr>
        <w:t>wlaw@upi</w:t>
      </w:r>
      <w:r>
        <w:rPr>
          <w:b w:val="1"/>
          <w:bCs w:val="1"/>
          <w:sz w:val="44"/>
          <w:szCs w:val="44"/>
          <w:rtl w:val="0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center"/>
        <w:rPr>
          <w:b w:val="1"/>
          <w:bCs w:val="1"/>
          <w:color w:val="ff2600"/>
          <w:sz w:val="30"/>
          <w:szCs w:val="3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center"/>
        <w:rPr>
          <w:b w:val="1"/>
          <w:bCs w:val="1"/>
          <w:color w:val="ff2600"/>
          <w:sz w:val="30"/>
          <w:szCs w:val="3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center"/>
        <w:rPr>
          <w:rFonts w:ascii="Times" w:cs="Times" w:hAnsi="Times" w:eastAsia="Times"/>
          <w:color w:val="ff2600"/>
          <w:sz w:val="30"/>
          <w:szCs w:val="3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after="40"/>
        <w:ind w:left="0" w:right="0" w:firstLine="0"/>
        <w:jc w:val="center"/>
        <w:rPr>
          <w:rtl w:val="0"/>
        </w:rPr>
      </w:pPr>
      <w:r>
        <w:rPr>
          <w:rStyle w:val="Hyperlink.0"/>
          <w:rFonts w:ascii="Times" w:cs="Times" w:hAnsi="Times" w:eastAsia="Times"/>
          <w:color w:val="ff2600"/>
          <w:sz w:val="30"/>
          <w:szCs w:val="30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color w:val="ff2600"/>
          <w:sz w:val="30"/>
          <w:szCs w:val="30"/>
          <w:rtl w:val="0"/>
        </w:rPr>
        <w:instrText xml:space="preserve"> HYPERLINK "https://www.writinglaw.com"</w:instrText>
      </w:r>
      <w:r>
        <w:rPr>
          <w:rStyle w:val="Hyperlink.0"/>
          <w:rFonts w:ascii="Times" w:cs="Times" w:hAnsi="Times" w:eastAsia="Times"/>
          <w:color w:val="ff2600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Times" w:hAnsi="Times"/>
          <w:color w:val="ff2600"/>
          <w:sz w:val="30"/>
          <w:szCs w:val="30"/>
          <w:rtl w:val="0"/>
          <w:lang w:val="en-US"/>
        </w:rPr>
        <w:t>WritingLaw.com</w:t>
      </w:r>
      <w:r>
        <w:rPr>
          <w:rFonts w:ascii="Times" w:cs="Times" w:hAnsi="Times" w:eastAsia="Times"/>
          <w:color w:val="ff2600"/>
          <w:sz w:val="30"/>
          <w:szCs w:val="30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e4ae0a"/>
      <w:u w:color="e4ae0a"/>
    </w:rPr>
  </w:style>
  <w:style w:type="character" w:styleId="Hyperlink.2">
    <w:name w:val="Hyperlink.2"/>
    <w:basedOn w:val="Link"/>
    <w:next w:val="Hyperlink.2"/>
    <w:rPr>
      <w:color w:val="0432ff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